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B" w:rsidRDefault="00B75A1B" w:rsidP="00B75A1B">
      <w:pPr>
        <w:spacing w:after="160" w:line="252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</w:t>
      </w:r>
    </w:p>
    <w:p w:rsidR="00B75A1B" w:rsidRDefault="00B75A1B" w:rsidP="00B75A1B">
      <w:pPr>
        <w:spacing w:after="160" w:line="252" w:lineRule="auto"/>
        <w:rPr>
          <w:b/>
          <w:bCs/>
          <w:sz w:val="28"/>
          <w:szCs w:val="28"/>
          <w:lang w:eastAsia="en-US"/>
        </w:rPr>
      </w:pPr>
    </w:p>
    <w:p w:rsidR="00B75A1B" w:rsidRPr="00896FAF" w:rsidRDefault="00B75A1B" w:rsidP="00B75A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FAF">
        <w:rPr>
          <w:rFonts w:ascii="Times New Roman" w:hAnsi="Times New Roman" w:cs="Times New Roman"/>
          <w:sz w:val="28"/>
          <w:szCs w:val="28"/>
        </w:rPr>
        <w:t xml:space="preserve">   </w:t>
      </w:r>
      <w:r w:rsidRPr="00896F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105410</wp:posOffset>
            </wp:positionV>
            <wp:extent cx="885825" cy="857250"/>
            <wp:effectExtent l="19050" t="0" r="952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FAF">
        <w:rPr>
          <w:rFonts w:ascii="Times New Roman" w:hAnsi="Times New Roman" w:cs="Times New Roman"/>
          <w:b/>
          <w:sz w:val="20"/>
          <w:szCs w:val="20"/>
        </w:rPr>
        <w:t>Баш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r w:rsidRPr="00896FAF">
        <w:rPr>
          <w:rFonts w:ascii="Times New Roman" w:hAnsi="Times New Roman" w:cs="Times New Roman"/>
          <w:b/>
          <w:sz w:val="20"/>
          <w:szCs w:val="20"/>
        </w:rPr>
        <w:t>ортостан Республика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r w:rsidRPr="00896FAF">
        <w:rPr>
          <w:rFonts w:ascii="Times New Roman" w:hAnsi="Times New Roman" w:cs="Times New Roman"/>
          <w:b/>
          <w:sz w:val="20"/>
          <w:szCs w:val="20"/>
        </w:rPr>
        <w:t>ы                                                                    Администрация сельского поселения</w:t>
      </w:r>
    </w:p>
    <w:p w:rsidR="00B75A1B" w:rsidRPr="00896FAF" w:rsidRDefault="00B75A1B" w:rsidP="00B75A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FAF">
        <w:rPr>
          <w:rFonts w:ascii="Times New Roman" w:hAnsi="Times New Roman" w:cs="Times New Roman"/>
          <w:b/>
          <w:sz w:val="20"/>
          <w:szCs w:val="20"/>
        </w:rPr>
        <w:t>Ишембай районы                                                                                                  Янурусовский сельсовет</w:t>
      </w:r>
    </w:p>
    <w:p w:rsidR="00B75A1B" w:rsidRPr="00896FAF" w:rsidRDefault="00B75A1B" w:rsidP="00B75A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FAF">
        <w:rPr>
          <w:rFonts w:ascii="Times New Roman" w:hAnsi="Times New Roman" w:cs="Times New Roman"/>
          <w:b/>
          <w:sz w:val="20"/>
          <w:szCs w:val="20"/>
        </w:rPr>
        <w:t>муниципаль районы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96F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B75A1B" w:rsidRPr="00896FAF" w:rsidRDefault="00B75A1B" w:rsidP="00B75A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FAF">
        <w:rPr>
          <w:rFonts w:ascii="Times New Roman" w:hAnsi="Times New Roman" w:cs="Times New Roman"/>
          <w:b/>
          <w:sz w:val="20"/>
          <w:szCs w:val="20"/>
        </w:rPr>
        <w:t>Й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96FAF">
        <w:rPr>
          <w:rFonts w:ascii="Times New Roman" w:hAnsi="Times New Roman" w:cs="Times New Roman"/>
          <w:b/>
          <w:sz w:val="20"/>
          <w:szCs w:val="20"/>
        </w:rPr>
        <w:t>ныры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 w:rsidRPr="00896FAF">
        <w:rPr>
          <w:rFonts w:ascii="Times New Roman" w:hAnsi="Times New Roman" w:cs="Times New Roman"/>
          <w:b/>
          <w:sz w:val="20"/>
          <w:szCs w:val="20"/>
        </w:rPr>
        <w:t xml:space="preserve"> ауыл Советы                                                                                       Ишимбайский район</w:t>
      </w:r>
    </w:p>
    <w:p w:rsidR="00B75A1B" w:rsidRPr="00896FAF" w:rsidRDefault="00B75A1B" w:rsidP="00B75A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r w:rsidRPr="00896FAF">
        <w:rPr>
          <w:rFonts w:ascii="Times New Roman" w:hAnsi="Times New Roman" w:cs="Times New Roman"/>
          <w:b/>
          <w:sz w:val="20"/>
          <w:szCs w:val="20"/>
        </w:rPr>
        <w:t>уыл бил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96FAF">
        <w:rPr>
          <w:rFonts w:ascii="Times New Roman" w:hAnsi="Times New Roman" w:cs="Times New Roman"/>
          <w:b/>
          <w:sz w:val="20"/>
          <w:szCs w:val="20"/>
        </w:rPr>
        <w:t>м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96FAF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96FAF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96F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B75A1B" w:rsidRPr="00896FAF" w:rsidRDefault="00B75A1B" w:rsidP="00B75A1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ba-RU"/>
        </w:rPr>
      </w:pPr>
      <w:r w:rsidRPr="00896FAF">
        <w:rPr>
          <w:rFonts w:ascii="Times New Roman" w:hAnsi="Times New Roman" w:cs="Times New Roman"/>
          <w:b/>
          <w:i/>
          <w:sz w:val="16"/>
          <w:szCs w:val="16"/>
        </w:rPr>
        <w:t>Пролет</w:t>
      </w:r>
      <w:r w:rsidR="00EE3D7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96FAF"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 w:rsidRPr="00896FAF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r w:rsidRPr="00896FAF">
        <w:rPr>
          <w:rFonts w:ascii="Times New Roman" w:hAnsi="Times New Roman" w:cs="Times New Roman"/>
          <w:b/>
          <w:i/>
          <w:sz w:val="16"/>
          <w:szCs w:val="16"/>
        </w:rPr>
        <w:t>ныры</w:t>
      </w:r>
      <w:r w:rsidRPr="00896FAF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896FAF">
        <w:rPr>
          <w:rFonts w:ascii="Times New Roman" w:hAnsi="Times New Roman" w:cs="Times New Roman"/>
          <w:b/>
          <w:i/>
          <w:sz w:val="16"/>
          <w:szCs w:val="16"/>
        </w:rPr>
        <w:t xml:space="preserve"> ауылы, 453237                                                                         ул.Пролетарская,14а, с.Янурусово, 453237</w:t>
      </w:r>
    </w:p>
    <w:p w:rsidR="00B75A1B" w:rsidRPr="00896FAF" w:rsidRDefault="00B75A1B" w:rsidP="00B75A1B">
      <w:pPr>
        <w:spacing w:after="0"/>
        <w:rPr>
          <w:rFonts w:ascii="Times New Roman" w:hAnsi="Times New Roman" w:cs="Times New Roman"/>
          <w:b/>
          <w:i/>
          <w:sz w:val="16"/>
          <w:szCs w:val="18"/>
        </w:rPr>
      </w:pPr>
      <w:r w:rsidRPr="00896FAF">
        <w:rPr>
          <w:rFonts w:ascii="Times New Roman" w:hAnsi="Times New Roman" w:cs="Times New Roman"/>
          <w:b/>
          <w:i/>
          <w:sz w:val="16"/>
          <w:szCs w:val="18"/>
          <w:lang w:val="ba-RU"/>
        </w:rPr>
        <w:t xml:space="preserve">               т</w:t>
      </w:r>
      <w:r w:rsidRPr="00896FAF">
        <w:rPr>
          <w:rFonts w:ascii="Times New Roman" w:hAnsi="Times New Roman" w:cs="Times New Roman"/>
          <w:b/>
          <w:i/>
          <w:sz w:val="16"/>
          <w:szCs w:val="18"/>
        </w:rPr>
        <w:t>ел.7-33-07, факс: 7-3-3-32                                                                                                              тел.7-33-07, факс: 7-33-32</w:t>
      </w:r>
    </w:p>
    <w:p w:rsidR="00B75A1B" w:rsidRPr="00896FAF" w:rsidRDefault="00B75A1B" w:rsidP="00B75A1B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896FAF">
        <w:rPr>
          <w:rFonts w:ascii="Times New Roman" w:hAnsi="Times New Roman" w:cs="Times New Roman"/>
          <w:b/>
          <w:i/>
          <w:sz w:val="16"/>
          <w:szCs w:val="18"/>
        </w:rPr>
        <w:t xml:space="preserve">      Электрон  адресы: </w:t>
      </w:r>
      <w:r w:rsidRPr="00896FAF">
        <w:rPr>
          <w:rFonts w:ascii="Times New Roman" w:hAnsi="Times New Roman" w:cs="Times New Roman"/>
          <w:b/>
          <w:i/>
          <w:sz w:val="16"/>
          <w:szCs w:val="18"/>
          <w:lang w:val="en-US"/>
        </w:rPr>
        <w:t>mail</w:t>
      </w:r>
      <w:r w:rsidRPr="00896FAF">
        <w:rPr>
          <w:rFonts w:ascii="Times New Roman" w:hAnsi="Times New Roman" w:cs="Times New Roman"/>
          <w:b/>
          <w:i/>
          <w:sz w:val="16"/>
          <w:szCs w:val="18"/>
        </w:rPr>
        <w:t>@</w:t>
      </w:r>
      <w:r w:rsidRPr="00896FAF">
        <w:rPr>
          <w:rFonts w:ascii="Times New Roman" w:hAnsi="Times New Roman" w:cs="Times New Roman"/>
          <w:b/>
          <w:i/>
          <w:sz w:val="16"/>
          <w:szCs w:val="18"/>
          <w:lang w:val="en-US"/>
        </w:rPr>
        <w:t>yanurus</w:t>
      </w:r>
      <w:r w:rsidRPr="00896FAF">
        <w:rPr>
          <w:rFonts w:ascii="Times New Roman" w:hAnsi="Times New Roman" w:cs="Times New Roman"/>
          <w:b/>
          <w:i/>
          <w:sz w:val="16"/>
          <w:szCs w:val="18"/>
        </w:rPr>
        <w:t>.</w:t>
      </w:r>
      <w:r w:rsidRPr="00896FAF">
        <w:rPr>
          <w:rFonts w:ascii="Times New Roman" w:hAnsi="Times New Roman" w:cs="Times New Roman"/>
          <w:b/>
          <w:i/>
          <w:sz w:val="16"/>
          <w:szCs w:val="18"/>
          <w:lang w:val="en-US"/>
        </w:rPr>
        <w:t>ru</w:t>
      </w:r>
      <w:r w:rsidRPr="00896FAF">
        <w:rPr>
          <w:rFonts w:ascii="Times New Roman" w:hAnsi="Times New Roman" w:cs="Times New Roman"/>
          <w:b/>
          <w:i/>
          <w:sz w:val="16"/>
          <w:szCs w:val="18"/>
        </w:rPr>
        <w:t xml:space="preserve">                                                                              Электронный адрес: </w:t>
      </w:r>
      <w:hyperlink r:id="rId7" w:history="1">
        <w:r w:rsidRPr="00896FAF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8"/>
            <w:u w:val="none"/>
            <w:lang w:val="en-US"/>
          </w:rPr>
          <w:t>mail</w:t>
        </w:r>
        <w:r w:rsidRPr="00896FAF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8"/>
            <w:u w:val="none"/>
          </w:rPr>
          <w:t>@</w:t>
        </w:r>
        <w:r w:rsidRPr="00896FAF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8"/>
            <w:u w:val="none"/>
            <w:lang w:val="en-US"/>
          </w:rPr>
          <w:t>yanurus</w:t>
        </w:r>
        <w:r w:rsidRPr="00896FAF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8"/>
            <w:u w:val="none"/>
          </w:rPr>
          <w:t>.</w:t>
        </w:r>
        <w:r w:rsidRPr="00896FAF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8"/>
            <w:u w:val="none"/>
            <w:lang w:val="en-US"/>
          </w:rPr>
          <w:t>ru</w:t>
        </w:r>
      </w:hyperlink>
    </w:p>
    <w:p w:rsidR="00B75A1B" w:rsidRPr="00896FAF" w:rsidRDefault="00D81221" w:rsidP="00B75A1B">
      <w:pPr>
        <w:spacing w:after="0"/>
        <w:rPr>
          <w:rFonts w:ascii="Times New Roman" w:hAnsi="Times New Roman" w:cs="Times New Roman"/>
          <w:b/>
          <w:sz w:val="16"/>
          <w:szCs w:val="18"/>
        </w:rPr>
      </w:pPr>
      <w:r w:rsidRPr="00D81221">
        <w:rPr>
          <w:rFonts w:ascii="Times New Roman" w:hAnsi="Times New Roman" w:cs="Times New Roman"/>
        </w:rPr>
        <w:pict>
          <v:line id="_x0000_s1026" style="position:absolute;flip:y;z-index:251660288" from="-67.05pt,11.2pt" to="482.95pt,11.2pt" strokeweight="4.5pt">
            <v:stroke linestyle="thickThin"/>
          </v:line>
        </w:pict>
      </w:r>
      <w:r w:rsidR="00B75A1B" w:rsidRPr="00896FAF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</w:t>
      </w:r>
    </w:p>
    <w:p w:rsidR="00B75A1B" w:rsidRDefault="00B75A1B" w:rsidP="00B75A1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A1B" w:rsidRDefault="00B75A1B" w:rsidP="00B75A1B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B75A1B" w:rsidRDefault="00B75A1B" w:rsidP="00B75A1B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A1B" w:rsidRDefault="00B75A1B" w:rsidP="00B75A1B">
      <w:pPr>
        <w:spacing w:after="160" w:line="252" w:lineRule="auto"/>
        <w:rPr>
          <w:b/>
          <w:bCs/>
          <w:sz w:val="28"/>
          <w:szCs w:val="28"/>
          <w:lang w:eastAsia="en-US"/>
        </w:rPr>
      </w:pPr>
    </w:p>
    <w:p w:rsidR="00B75A1B" w:rsidRDefault="00B75A1B" w:rsidP="00B75A1B">
      <w:pPr>
        <w:spacing w:after="160" w:line="252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«2</w:t>
      </w:r>
      <w:r w:rsidRPr="00B75A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3» декабрь 2019 йыл              </w:t>
      </w:r>
      <w:r w:rsidR="00EE3D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Pr="00B75A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№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E3D79">
        <w:rPr>
          <w:rFonts w:ascii="Times New Roman" w:hAnsi="Times New Roman" w:cs="Times New Roman"/>
          <w:bCs/>
          <w:sz w:val="28"/>
          <w:szCs w:val="28"/>
          <w:lang w:eastAsia="en-US"/>
        </w:rPr>
        <w:t>91</w:t>
      </w:r>
      <w:r w:rsidRPr="00B75A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="00EE3D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</w:t>
      </w:r>
      <w:r w:rsidRPr="00B75A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«23» декабря 2019 года</w:t>
      </w:r>
    </w:p>
    <w:p w:rsidR="00EE3D79" w:rsidRPr="00B75A1B" w:rsidRDefault="00EE3D79" w:rsidP="00B75A1B">
      <w:pPr>
        <w:spacing w:after="160" w:line="252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9214" w:type="dxa"/>
        <w:jc w:val="center"/>
        <w:tblInd w:w="108" w:type="dxa"/>
        <w:tblLook w:val="04A0"/>
      </w:tblPr>
      <w:tblGrid>
        <w:gridCol w:w="9214"/>
      </w:tblGrid>
      <w:tr w:rsidR="00B75A1B" w:rsidRPr="00B75A1B" w:rsidTr="00B75A1B">
        <w:trPr>
          <w:jc w:val="center"/>
        </w:trPr>
        <w:tc>
          <w:tcPr>
            <w:tcW w:w="9214" w:type="dxa"/>
            <w:hideMark/>
          </w:tcPr>
          <w:p w:rsidR="00B75A1B" w:rsidRPr="00B75A1B" w:rsidRDefault="00B75A1B" w:rsidP="00B75A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75A1B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взаимодействия при осуществлении контроля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Янурус</w:t>
            </w:r>
            <w:r w:rsidRPr="00B75A1B">
              <w:rPr>
                <w:rFonts w:ascii="Times New Roman" w:hAnsi="Times New Roman" w:cs="Times New Roman"/>
                <w:sz w:val="28"/>
                <w:szCs w:val="28"/>
              </w:rPr>
              <w:t xml:space="preserve">овский  сельсовет муниципального района Ишимбайский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                  </w:t>
            </w:r>
          </w:p>
          <w:p w:rsidR="00B75A1B" w:rsidRPr="00B75A1B" w:rsidRDefault="00B75A1B" w:rsidP="00EE3D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A1B">
              <w:rPr>
                <w:rFonts w:ascii="Times New Roman" w:hAnsi="Times New Roman" w:cs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</w:t>
            </w:r>
          </w:p>
        </w:tc>
      </w:tr>
    </w:tbl>
    <w:p w:rsidR="00B75A1B" w:rsidRPr="00B75A1B" w:rsidRDefault="00B75A1B" w:rsidP="00EE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1B" w:rsidRPr="00EE3D79" w:rsidRDefault="00B75A1B" w:rsidP="00EE3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</w:t>
      </w:r>
      <w:r w:rsidRPr="00B75A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5A1B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22 июля 2016 года № 120н 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нужд"»,</w:t>
      </w:r>
    </w:p>
    <w:p w:rsidR="00B75A1B" w:rsidRPr="00B75A1B" w:rsidRDefault="00B75A1B" w:rsidP="00EE3D7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Ишимбайский район Республики Башкортостан с субъектами контроля, указанными в пункте 4 Правил осуществления контроля, предусмотренного частью 5 статьи 99 </w:t>
      </w:r>
      <w:r w:rsidRPr="00B75A1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Порядок).</w:t>
      </w:r>
    </w:p>
    <w:p w:rsidR="00B75A1B" w:rsidRPr="00B75A1B" w:rsidRDefault="00B75A1B" w:rsidP="00EE3D7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B75A1B" w:rsidRPr="00B75A1B" w:rsidRDefault="00B75A1B" w:rsidP="00EE3D7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75A1B" w:rsidRPr="00B75A1B" w:rsidRDefault="00B75A1B" w:rsidP="00B75A1B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A1B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оставить за собой.</w:t>
      </w:r>
      <w:r w:rsidRPr="00B75A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75A1B" w:rsidRPr="00B75A1B" w:rsidRDefault="00B75A1B" w:rsidP="00B75A1B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5A1B" w:rsidRPr="00B75A1B" w:rsidRDefault="00B75A1B" w:rsidP="00B75A1B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A1B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Pr="00B75A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75A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75A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75A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75A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3D7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М.Р. Маннанов</w:t>
      </w:r>
    </w:p>
    <w:p w:rsidR="00B75A1B" w:rsidRPr="00B75A1B" w:rsidRDefault="00B75A1B" w:rsidP="00B75A1B">
      <w:pPr>
        <w:rPr>
          <w:rFonts w:ascii="Times New Roman" w:hAnsi="Times New Roman" w:cs="Times New Roman"/>
          <w:sz w:val="28"/>
          <w:szCs w:val="28"/>
        </w:rPr>
      </w:pPr>
    </w:p>
    <w:p w:rsidR="00B75A1B" w:rsidRPr="00B75A1B" w:rsidRDefault="00B75A1B" w:rsidP="00B75A1B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A1B">
        <w:rPr>
          <w:rFonts w:ascii="Times New Roman" w:hAnsi="Times New Roman" w:cs="Times New Roman"/>
          <w:sz w:val="24"/>
          <w:szCs w:val="24"/>
        </w:rPr>
        <w:tab/>
      </w: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75A1B" w:rsidRDefault="00B75A1B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EE3D79" w:rsidRPr="00B75A1B" w:rsidRDefault="00EE3D79" w:rsidP="00B75A1B">
      <w:pPr>
        <w:tabs>
          <w:tab w:val="left" w:pos="1080"/>
          <w:tab w:val="num" w:pos="1260"/>
        </w:tabs>
        <w:rPr>
          <w:rFonts w:ascii="Times New Roman" w:hAnsi="Times New Roman" w:cs="Times New Roman"/>
          <w:sz w:val="24"/>
          <w:szCs w:val="24"/>
        </w:rPr>
      </w:pP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B75A1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B75A1B">
        <w:rPr>
          <w:rFonts w:ascii="Times New Roman" w:hAnsi="Times New Roman" w:cs="Times New Roman"/>
          <w:sz w:val="24"/>
          <w:szCs w:val="24"/>
        </w:rPr>
        <w:t xml:space="preserve">к распоряжению  Администрации СП </w:t>
      </w:r>
      <w:r>
        <w:rPr>
          <w:rFonts w:ascii="Times New Roman" w:hAnsi="Times New Roman" w:cs="Times New Roman"/>
          <w:sz w:val="24"/>
          <w:szCs w:val="24"/>
        </w:rPr>
        <w:t>Янурус</w:t>
      </w:r>
      <w:r w:rsidRPr="00B75A1B">
        <w:rPr>
          <w:rFonts w:ascii="Times New Roman" w:hAnsi="Times New Roman" w:cs="Times New Roman"/>
          <w:sz w:val="24"/>
          <w:szCs w:val="24"/>
        </w:rPr>
        <w:t>овский сельсовет муниципального района Ишимбайский район Республики Башкортостан</w:t>
      </w:r>
    </w:p>
    <w:p w:rsidR="00B75A1B" w:rsidRPr="00B75A1B" w:rsidRDefault="00B75A1B" w:rsidP="00B75A1B">
      <w:pPr>
        <w:tabs>
          <w:tab w:val="left" w:pos="1080"/>
          <w:tab w:val="num" w:pos="1260"/>
        </w:tabs>
        <w:ind w:left="595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75A1B">
        <w:rPr>
          <w:rFonts w:ascii="Times New Roman" w:hAnsi="Times New Roman" w:cs="Times New Roman"/>
          <w:sz w:val="24"/>
          <w:szCs w:val="24"/>
        </w:rPr>
        <w:t xml:space="preserve">от  23.12.2019  № </w:t>
      </w:r>
      <w:r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B75A1B" w:rsidRPr="00B75A1B" w:rsidRDefault="00B75A1B" w:rsidP="00B75A1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A1B" w:rsidRPr="00B75A1B" w:rsidRDefault="00B75A1B" w:rsidP="00B75A1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Порядок</w:t>
      </w:r>
    </w:p>
    <w:p w:rsidR="00B75A1B" w:rsidRPr="00B75A1B" w:rsidRDefault="00B75A1B" w:rsidP="00B75A1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Янурусо</w:t>
      </w:r>
      <w:r w:rsidRPr="00B75A1B">
        <w:rPr>
          <w:rFonts w:ascii="Times New Roman" w:hAnsi="Times New Roman" w:cs="Times New Roman"/>
          <w:sz w:val="28"/>
          <w:szCs w:val="28"/>
        </w:rPr>
        <w:t>вский 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A1B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</w:p>
    <w:p w:rsidR="00B75A1B" w:rsidRPr="00B75A1B" w:rsidRDefault="00B75A1B" w:rsidP="00B75A1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взаимодействия при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>овский  сельсовет муниципального района Ишимбайский  район Республики Башкортостан (далее-Администрация)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r w:rsidRPr="00B75A1B">
        <w:rPr>
          <w:rFonts w:ascii="Times New Roman" w:hAnsi="Times New Roman" w:cs="Times New Roman"/>
          <w:sz w:val="28"/>
          <w:szCs w:val="28"/>
        </w:rPr>
        <w:lastRenderedPageBreak/>
        <w:t xml:space="preserve">частью 5 статьи 99 указанного Федерального закона (далее  соответственно - контроль, объекты контроля, Федеральный закон). 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 xml:space="preserve">овский  сельсовет муниципального района Ишимбайский 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lastRenderedPageBreak/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lastRenderedPageBreak/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9. При осуществлении взаимодействия с субъектами контроля Администрация проверяет в соответ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>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B75A1B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 xml:space="preserve">овский  сельсовет муниципального района Ишимбайский  район Республики Башкортостан, утвержденный постановлением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>овский  сельсовет муниципального района Ишимбайский  район Республики Башкортостан от 31.10.2016г. № 50 (далее – Порядок учета бюджетных обязательств);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>овский  сельсовет муниципального района Ишимбайский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Финансовое 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подпункте «в» пункта 4 (в части </w:t>
      </w:r>
      <w:r w:rsidRPr="00B75A1B">
        <w:rPr>
          <w:rFonts w:ascii="Times New Roman" w:hAnsi="Times New Roman" w:cs="Times New Roman"/>
          <w:sz w:val="28"/>
          <w:szCs w:val="28"/>
        </w:rPr>
        <w:t>муниципальных унитарных предприятий)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Ишимбайский 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 xml:space="preserve">овский  сельсовет муниципального района Ишимбайский  район Республики Башкортостан (главных администраторов источников финансирования дефицита 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Янурус</w:t>
      </w:r>
      <w:r w:rsidRPr="00B75A1B">
        <w:rPr>
          <w:rFonts w:ascii="Times New Roman" w:hAnsi="Times New Roman" w:cs="Times New Roman"/>
          <w:sz w:val="28"/>
          <w:szCs w:val="28"/>
        </w:rPr>
        <w:t>овский  сельсовет муниципального района Ишимбайский 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Администрация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не превышение включенной в протокол определения поставщика (подрядчика, исполнителя) (сведения о протоколе) цены, предложенной 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 превышение включенной в план-график закупок информации о планируемых платежах по  таким закупкам с учетом: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Администрацию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Администрация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B75A1B">
        <w:rPr>
          <w:rFonts w:ascii="Times New Roman" w:hAnsi="Times New Roman" w:cs="Times New Roman"/>
          <w:sz w:val="28"/>
          <w:szCs w:val="28"/>
        </w:rPr>
        <w:t xml:space="preserve">Администрация проставляет на сведениях о приглашении, сведениях о проекте контракта отметку 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>о несоответствии включенной в них контролируемой информации (далее – отметка о несоответствии);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единственным поставщиком (подрядчиком, исполнителем), или </w:t>
      </w:r>
      <w:r w:rsidRPr="00B75A1B">
        <w:rPr>
          <w:rFonts w:ascii="Times New Roman" w:hAnsi="Times New Roman" w:cs="Times New Roman"/>
          <w:sz w:val="28"/>
          <w:szCs w:val="28"/>
        </w:rPr>
        <w:t>Администрацию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75A1B">
        <w:rPr>
          <w:rFonts w:ascii="Times New Roman" w:hAnsi="Times New Roman" w:cs="Times New Roman"/>
          <w:color w:val="000000"/>
          <w:sz w:val="28"/>
          <w:szCs w:val="28"/>
        </w:rPr>
        <w:t>15.  До ввода в эксплуатацию региональной информационной системы в сфере закупок товаров, работ, услуг для обеспечения нужд</w:t>
      </w:r>
      <w:r w:rsidRPr="00B75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Ишимбайский  район Республики Башкортостан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</w:t>
      </w:r>
      <w:r w:rsidRPr="00B75A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B75A1B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Ишимбайский  район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на официальном сайте в информационно-телекоммуникационной сети Интернет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yanurus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5A1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75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A1B" w:rsidRPr="00B75A1B" w:rsidRDefault="00B75A1B" w:rsidP="00B75A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jc w:val="both"/>
        <w:rPr>
          <w:rFonts w:ascii="Times New Roman" w:hAnsi="Times New Roman" w:cs="Times New Roman"/>
          <w:color w:val="000000"/>
        </w:rPr>
      </w:pPr>
    </w:p>
    <w:p w:rsidR="00B75A1B" w:rsidRPr="00B75A1B" w:rsidRDefault="00B75A1B" w:rsidP="00B75A1B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A1B" w:rsidRPr="00B75A1B" w:rsidRDefault="00B75A1B" w:rsidP="00B75A1B">
      <w:pPr>
        <w:rPr>
          <w:rFonts w:ascii="Times New Roman" w:eastAsia="Calibri" w:hAnsi="Times New Roman" w:cs="Times New Roman"/>
          <w:lang w:eastAsia="en-US"/>
        </w:rPr>
      </w:pPr>
    </w:p>
    <w:p w:rsidR="00B75A1B" w:rsidRPr="00B75A1B" w:rsidRDefault="00B75A1B" w:rsidP="00B75A1B">
      <w:pPr>
        <w:rPr>
          <w:rFonts w:ascii="Times New Roman" w:hAnsi="Times New Roman" w:cs="Times New Roman"/>
          <w:sz w:val="24"/>
          <w:szCs w:val="24"/>
        </w:rPr>
      </w:pPr>
    </w:p>
    <w:p w:rsidR="00B75A1B" w:rsidRPr="00B75A1B" w:rsidRDefault="00B75A1B" w:rsidP="00B75A1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5A1B" w:rsidRPr="00B75A1B" w:rsidRDefault="00B75A1B" w:rsidP="00B75A1B">
      <w:pPr>
        <w:spacing w:after="160" w:line="252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5A1B" w:rsidRPr="00B75A1B" w:rsidRDefault="00B75A1B" w:rsidP="00B75A1B">
      <w:pPr>
        <w:spacing w:after="160" w:line="252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Приложение N 1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взаимодействия при осуществлении контроля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                        Янурусовский сельсовет</w:t>
      </w: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Ишимбайский район Республики Башкортостан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с субъектами контроля, указанными в пункте 4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Правил осуществления контроля, предусмотренного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частью 5 статьи 99 Федерального закона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«О контрактной системе в сфере закупок товаров, работ,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услуг для обеспечения государственных и муниципальных нужд»,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утвержденных постановлением Правительства </w:t>
      </w:r>
    </w:p>
    <w:p w:rsidR="0090440E" w:rsidRPr="00791383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Российской Федерации от 12 декабря 2015 года № 1367</w:t>
      </w:r>
    </w:p>
    <w:p w:rsidR="0090440E" w:rsidRPr="00853CDF" w:rsidRDefault="0090440E" w:rsidP="0090440E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bookmarkStart w:id="0" w:name="P135"/>
      <w:bookmarkEnd w:id="0"/>
      <w:r w:rsidRPr="00853CDF">
        <w:rPr>
          <w:rFonts w:ascii="Calibri" w:hAnsi="Calibri" w:cs="Calibri"/>
          <w:szCs w:val="20"/>
        </w:rPr>
        <w:t>Сведения о приглашении принять участие в определении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 xml:space="preserve">поставщика (подрядчика, исполнителя) N ________________ </w:t>
      </w:r>
      <w:hyperlink w:anchor="P183" w:history="1">
        <w:r w:rsidRPr="00853CDF">
          <w:rPr>
            <w:rFonts w:ascii="Calibri" w:hAnsi="Calibri" w:cs="Calibri"/>
            <w:color w:val="0000FF"/>
            <w:szCs w:val="20"/>
          </w:rPr>
          <w:t>&lt;**&gt;</w:t>
        </w:r>
      </w:hyperlink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0440E" w:rsidRPr="00853CDF" w:rsidTr="00623E48">
        <w:tc>
          <w:tcPr>
            <w:tcW w:w="4139" w:type="dxa"/>
            <w:tcBorders>
              <w:lef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853CDF">
                <w:rPr>
                  <w:rFonts w:ascii="Calibri" w:hAnsi="Calibri" w:cs="Calibri"/>
                  <w:color w:val="0000FF"/>
                  <w:szCs w:val="20"/>
                </w:rPr>
                <w:t>&lt;***&gt;</w:t>
              </w:r>
            </w:hyperlink>
          </w:p>
        </w:tc>
      </w:tr>
      <w:tr w:rsidR="0090440E" w:rsidRPr="00853CDF" w:rsidTr="00623E48">
        <w:tc>
          <w:tcPr>
            <w:tcW w:w="4139" w:type="dxa"/>
            <w:tcBorders>
              <w:lef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2</w:t>
            </w:r>
          </w:p>
        </w:tc>
      </w:tr>
      <w:tr w:rsidR="0090440E" w:rsidRPr="00853CDF" w:rsidTr="00623E4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4932" w:type="dxa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0440E" w:rsidRPr="00853CDF" w:rsidTr="00623E4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0440E" w:rsidRPr="00853CDF" w:rsidRDefault="0090440E" w:rsidP="00623E4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932" w:type="dxa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90440E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Cs w:val="20"/>
        </w:rPr>
        <w:br w:type="page"/>
      </w:r>
      <w:r w:rsidRPr="00853CDF">
        <w:rPr>
          <w:rFonts w:ascii="Courier New" w:hAnsi="Courier New" w:cs="Courier New"/>
          <w:sz w:val="16"/>
          <w:szCs w:val="20"/>
        </w:rPr>
        <w:lastRenderedPageBreak/>
        <w:t>Руководитель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--------------------------------</w:t>
      </w:r>
    </w:p>
    <w:p w:rsidR="0090440E" w:rsidRPr="00853CDF" w:rsidRDefault="0090440E" w:rsidP="0090440E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1" w:name="P182"/>
      <w:bookmarkEnd w:id="1"/>
      <w:r w:rsidRPr="00853CDF">
        <w:rPr>
          <w:rFonts w:ascii="Calibri" w:hAnsi="Calibri" w:cs="Calibri"/>
          <w:szCs w:val="20"/>
        </w:rPr>
        <w:t>&lt;*&gt; Заполняется при наличии.</w:t>
      </w:r>
    </w:p>
    <w:p w:rsidR="0090440E" w:rsidRPr="00853CDF" w:rsidRDefault="0090440E" w:rsidP="0090440E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2" w:name="P183"/>
      <w:bookmarkEnd w:id="2"/>
      <w:r w:rsidRPr="00853CDF">
        <w:rPr>
          <w:rFonts w:ascii="Calibri" w:hAnsi="Calibri" w:cs="Calibri"/>
          <w:szCs w:val="20"/>
        </w:rPr>
        <w:t>&lt;**&gt; Указывается исходящий номер.</w:t>
      </w:r>
    </w:p>
    <w:p w:rsidR="0090440E" w:rsidRPr="00853CDF" w:rsidRDefault="0090440E" w:rsidP="0090440E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3" w:name="P184"/>
      <w:bookmarkEnd w:id="3"/>
      <w:r w:rsidRPr="00853CDF">
        <w:rPr>
          <w:rFonts w:ascii="Calibri" w:hAnsi="Calibri" w:cs="Calibri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90440E" w:rsidRDefault="0090440E" w:rsidP="0090440E">
      <w:pPr>
        <w:pStyle w:val="ConsPlusNormal"/>
        <w:jc w:val="center"/>
        <w:rPr>
          <w:rFonts w:cs="Times New Roman"/>
          <w:color w:val="000000"/>
          <w:szCs w:val="22"/>
        </w:rPr>
      </w:pPr>
      <w:r>
        <w:t xml:space="preserve">Отметка </w:t>
      </w: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 Янурусовский </w:t>
      </w:r>
    </w:p>
    <w:p w:rsidR="0090440E" w:rsidRDefault="0090440E" w:rsidP="0090440E">
      <w:pPr>
        <w:pStyle w:val="ConsPlusNormal"/>
        <w:jc w:val="center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сельсовет</w:t>
      </w: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  <w:r>
        <w:rPr>
          <w:rFonts w:cs="Times New Roman"/>
          <w:color w:val="000000"/>
          <w:szCs w:val="22"/>
        </w:rPr>
        <w:t xml:space="preserve"> </w:t>
      </w:r>
      <w:r w:rsidRPr="00791383">
        <w:rPr>
          <w:rFonts w:cs="Times New Roman"/>
          <w:color w:val="000000"/>
          <w:szCs w:val="22"/>
        </w:rPr>
        <w:t>Ишимбайский район Республики Башкортостан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о соответствии контролируемой информации требованиям,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установленным </w:t>
      </w:r>
      <w:hyperlink r:id="rId13" w:history="1">
        <w:r>
          <w:rPr>
            <w:rStyle w:val="a3"/>
            <w:rFonts w:ascii="Calibri" w:hAnsi="Calibri" w:cs="Calibri"/>
            <w:szCs w:val="20"/>
            <w:u w:val="none"/>
          </w:rPr>
          <w:t>частью 5 статьи 99</w:t>
        </w:r>
      </w:hyperlink>
      <w:r>
        <w:rPr>
          <w:rFonts w:ascii="Calibri" w:hAnsi="Calibri" w:cs="Calibri"/>
          <w:szCs w:val="20"/>
        </w:rPr>
        <w:t xml:space="preserve"> Федерального закона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от 5 апреля 2013 года N 44-ФЗ "О контрактной системе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в сфере закупок товаров, работ, услуг для обеспечения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государственных и муниципальных нужд"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90440E" w:rsidRDefault="0090440E" w:rsidP="0090440E">
      <w:bookmarkStart w:id="4" w:name="_GoBack"/>
      <w:bookmarkEnd w:id="4"/>
    </w:p>
    <w:p w:rsidR="00BE25DE" w:rsidRDefault="00BE25D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Приложение N 2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взаимодействия при осуществлении контроля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                        Янурусовский сельсовет</w:t>
      </w: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Ишимбайский район Республики Башкортостан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с субъектами контроля, указанными в пункте 4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Правил осуществления контроля, предусмотренного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частью 5 статьи 99 Федерального закона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«О контрактной системе в сфере закупок товаров, работ,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услуг для обеспечения государственных и муниципальных нужд»,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утвержденных постановлением Правительства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Российской Федерации от 12 декабря 2015 года № 1367</w:t>
      </w:r>
    </w:p>
    <w:p w:rsidR="0090440E" w:rsidRPr="00853CDF" w:rsidRDefault="0090440E" w:rsidP="0090440E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bookmarkStart w:id="5" w:name="P239"/>
      <w:bookmarkEnd w:id="5"/>
      <w:r w:rsidRPr="00853CDF">
        <w:rPr>
          <w:rFonts w:ascii="Calibri" w:hAnsi="Calibri" w:cs="Calibri"/>
          <w:szCs w:val="20"/>
        </w:rPr>
        <w:t xml:space="preserve">Сведения о документации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Cs w:val="20"/>
          </w:rPr>
          <w:t>&lt;**&gt;</w:t>
        </w:r>
      </w:hyperlink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Телефон                         _________________________________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0440E" w:rsidRPr="00853CDF" w:rsidTr="00623E48">
        <w:tc>
          <w:tcPr>
            <w:tcW w:w="4139" w:type="dxa"/>
            <w:tcBorders>
              <w:lef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Cs w:val="20"/>
                </w:rPr>
                <w:t>&lt;***&gt;</w:t>
              </w:r>
            </w:hyperlink>
          </w:p>
        </w:tc>
      </w:tr>
      <w:tr w:rsidR="0090440E" w:rsidRPr="00853CDF" w:rsidTr="00623E48">
        <w:tc>
          <w:tcPr>
            <w:tcW w:w="4139" w:type="dxa"/>
            <w:tcBorders>
              <w:lef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2</w:t>
            </w:r>
          </w:p>
        </w:tc>
      </w:tr>
      <w:tr w:rsidR="0090440E" w:rsidRPr="00853CDF" w:rsidTr="00623E4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4932" w:type="dxa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0440E" w:rsidRPr="00853CDF" w:rsidTr="00623E4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0440E" w:rsidRPr="00853CDF" w:rsidRDefault="0090440E" w:rsidP="00623E4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932" w:type="dxa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90440E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Cs w:val="20"/>
        </w:rPr>
        <w:br w:type="page"/>
      </w:r>
      <w:r w:rsidRPr="00853CDF">
        <w:rPr>
          <w:rFonts w:ascii="Courier New" w:hAnsi="Courier New" w:cs="Courier New"/>
          <w:sz w:val="16"/>
          <w:szCs w:val="20"/>
        </w:rPr>
        <w:lastRenderedPageBreak/>
        <w:t>Руководитель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--------------------------------</w:t>
      </w:r>
    </w:p>
    <w:p w:rsidR="0090440E" w:rsidRPr="00853CDF" w:rsidRDefault="0090440E" w:rsidP="0090440E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6" w:name="P285"/>
      <w:bookmarkEnd w:id="6"/>
      <w:r w:rsidRPr="00853CDF">
        <w:rPr>
          <w:rFonts w:ascii="Calibri" w:hAnsi="Calibri" w:cs="Calibri"/>
          <w:szCs w:val="20"/>
        </w:rPr>
        <w:t>&lt;*&gt; Заполняется при наличии.</w:t>
      </w:r>
    </w:p>
    <w:p w:rsidR="0090440E" w:rsidRPr="00853CDF" w:rsidRDefault="0090440E" w:rsidP="0090440E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7" w:name="P286"/>
      <w:bookmarkEnd w:id="7"/>
      <w:r w:rsidRPr="00853CDF">
        <w:rPr>
          <w:rFonts w:ascii="Calibri" w:hAnsi="Calibri" w:cs="Calibri"/>
          <w:szCs w:val="20"/>
        </w:rPr>
        <w:t>&lt;**&gt; Указывается исходящий номер.</w:t>
      </w:r>
    </w:p>
    <w:p w:rsidR="0090440E" w:rsidRPr="00853CDF" w:rsidRDefault="0090440E" w:rsidP="0090440E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8" w:name="P287"/>
      <w:bookmarkEnd w:id="8"/>
      <w:r w:rsidRPr="00853CDF">
        <w:rPr>
          <w:rFonts w:ascii="Calibri" w:hAnsi="Calibri" w:cs="Calibri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90440E" w:rsidRDefault="0090440E" w:rsidP="0090440E">
      <w:pPr>
        <w:pStyle w:val="ConsPlusNormal"/>
        <w:jc w:val="center"/>
        <w:rPr>
          <w:rFonts w:cs="Times New Roman"/>
          <w:color w:val="000000"/>
          <w:szCs w:val="22"/>
        </w:rPr>
      </w:pPr>
      <w:r>
        <w:t xml:space="preserve">Отметка </w:t>
      </w: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 Янурусовский сельсовет</w:t>
      </w:r>
    </w:p>
    <w:p w:rsidR="0090440E" w:rsidRDefault="0090440E" w:rsidP="0090440E">
      <w:pPr>
        <w:pStyle w:val="ConsPlusNormal"/>
        <w:jc w:val="center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  <w:r>
        <w:rPr>
          <w:rFonts w:cs="Times New Roman"/>
          <w:color w:val="000000"/>
          <w:szCs w:val="22"/>
        </w:rPr>
        <w:t xml:space="preserve"> </w:t>
      </w:r>
      <w:r w:rsidRPr="00791383">
        <w:rPr>
          <w:rFonts w:cs="Times New Roman"/>
          <w:color w:val="000000"/>
          <w:szCs w:val="22"/>
        </w:rPr>
        <w:t>Ишимбайский район Республики Башкортостан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о соответствии контролируемой информации требованиям, установленным </w:t>
      </w:r>
      <w:hyperlink r:id="rId19" w:history="1">
        <w:r>
          <w:rPr>
            <w:rStyle w:val="a3"/>
            <w:rFonts w:ascii="Calibri" w:hAnsi="Calibri" w:cs="Calibri"/>
            <w:szCs w:val="20"/>
            <w:u w:val="none"/>
          </w:rPr>
          <w:t>частью 5 статьи 99</w:t>
        </w:r>
      </w:hyperlink>
      <w:r>
        <w:rPr>
          <w:rFonts w:ascii="Calibri" w:hAnsi="Calibri" w:cs="Calibri"/>
          <w:szCs w:val="20"/>
        </w:rPr>
        <w:t xml:space="preserve"> Федерального закона от 5 апреля 2013 года N 44-ФЗ "О контрактной системе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в сфере закупок товаров, работ, услуг для обеспечения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государственных и муниципальных нужд"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90440E" w:rsidRDefault="0090440E" w:rsidP="0090440E"/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Pr="000D6CCB" w:rsidRDefault="0090440E" w:rsidP="0090440E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 w:rsidRPr="000D6CCB">
        <w:rPr>
          <w:rFonts w:ascii="Calibri" w:hAnsi="Calibri" w:cs="Calibri"/>
          <w:szCs w:val="20"/>
        </w:rPr>
        <w:t>Приложение N 3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взаимодействия при осуществлении контроля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                        Янурусовский сельсовет</w:t>
      </w: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Ишимбайский район Республики Башкортостан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с субъектами контроля, указанными в пункте 4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Правил осуществления контроля, предусмотренного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частью 5 статьи 99 Федерального закона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«О контрактной системе в сфере закупок товаров, работ,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услуг для обеспечения государственных и муниципальных нужд»,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утвержденных постановлением Правительства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Российской Федерации от 12 декабря 2015 года № 1367</w:t>
      </w:r>
    </w:p>
    <w:p w:rsidR="0090440E" w:rsidRPr="000D6CCB" w:rsidRDefault="0090440E" w:rsidP="0090440E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90440E" w:rsidRPr="000D6CCB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0D6CCB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17" w:history="1">
        <w:r w:rsidRPr="000D6CC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0D6CCB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90440E" w:rsidRPr="000D6CCB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0D6CCB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90440E" w:rsidRPr="000D6CCB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bookmarkStart w:id="9" w:name="P342"/>
      <w:bookmarkEnd w:id="9"/>
      <w:r w:rsidRPr="000D6CCB">
        <w:rPr>
          <w:rFonts w:ascii="Calibri" w:hAnsi="Calibri" w:cs="Calibri"/>
          <w:szCs w:val="20"/>
        </w:rPr>
        <w:t>Сведения о протоколе определения поставщика</w:t>
      </w:r>
    </w:p>
    <w:p w:rsidR="0090440E" w:rsidRPr="000D6CCB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0D6CCB">
        <w:rPr>
          <w:rFonts w:ascii="Calibri" w:hAnsi="Calibri" w:cs="Calibri"/>
          <w:szCs w:val="20"/>
        </w:rPr>
        <w:t xml:space="preserve">(подрядчика, исполнителя) N __________________ </w:t>
      </w:r>
      <w:hyperlink w:anchor="P418" w:history="1">
        <w:r w:rsidRPr="000D6CCB">
          <w:rPr>
            <w:rFonts w:ascii="Calibri" w:hAnsi="Calibri" w:cs="Calibri"/>
            <w:color w:val="0000FF"/>
            <w:szCs w:val="20"/>
          </w:rPr>
          <w:t>&lt;**&gt;</w:t>
        </w:r>
      </w:hyperlink>
    </w:p>
    <w:p w:rsidR="0090440E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Исключен. - </w:t>
      </w:r>
      <w:r w:rsidRPr="000D6CCB">
        <w:rPr>
          <w:rFonts w:ascii="Calibri" w:hAnsi="Calibri" w:cs="Calibri"/>
          <w:szCs w:val="20"/>
        </w:rPr>
        <w:t>Приказ Минфина РБ от 18.09.2019 N 262.</w:t>
      </w:r>
    </w:p>
    <w:p w:rsidR="0090440E" w:rsidRDefault="0090440E" w:rsidP="0090440E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90440E" w:rsidRDefault="0090440E" w:rsidP="0090440E"/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EC2EBB">
        <w:rPr>
          <w:rFonts w:cs="Calibri"/>
          <w:szCs w:val="20"/>
        </w:rPr>
        <w:t xml:space="preserve">Приложение N </w:t>
      </w:r>
      <w:r>
        <w:rPr>
          <w:rFonts w:cs="Calibri"/>
          <w:szCs w:val="20"/>
        </w:rPr>
        <w:t>4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взаимодействия при осуществлении контроля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                        Янурусовский сельсовет</w:t>
      </w: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Ишимбайский район Республики Башкортостан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с субъектами контроля, указанными в пункте 4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Правил осуществления контроля, предусмотренного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частью 5 статьи 99 Федерального закона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«О контрактной системе в сфере закупок товаров, работ,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услуг для обеспечения государственных и муниципальных нужд»,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утвержденных постановлением Правительства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Российской Федерации от 12 декабря 2015 года № 1367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bookmarkStart w:id="10" w:name="P474"/>
      <w:bookmarkEnd w:id="10"/>
      <w:r w:rsidRPr="00EC2EBB">
        <w:rPr>
          <w:rFonts w:cs="Calibri"/>
          <w:szCs w:val="20"/>
        </w:rPr>
        <w:t>Сведения о проекте контракта, направляемого участнику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EC2EBB">
        <w:rPr>
          <w:rFonts w:cs="Calibri"/>
          <w:szCs w:val="20"/>
        </w:rPr>
        <w:t>закупки (контракта, возвращаемого участником закупки)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EC2EBB">
        <w:rPr>
          <w:rFonts w:cs="Calibri"/>
          <w:szCs w:val="20"/>
        </w:rPr>
        <w:t xml:space="preserve">N __________________ </w:t>
      </w:r>
      <w:hyperlink w:anchor="P541" w:history="1">
        <w:r w:rsidRPr="00EC2EBB">
          <w:rPr>
            <w:rFonts w:cs="Calibri"/>
            <w:color w:val="0000FF"/>
            <w:szCs w:val="20"/>
          </w:rPr>
          <w:t>&lt;**&gt;</w:t>
        </w:r>
      </w:hyperlink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1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2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│ 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</w:p>
    <w:p w:rsidR="0090440E" w:rsidRPr="00EC2EBB" w:rsidRDefault="0090440E" w:rsidP="0090440E">
      <w:pPr>
        <w:sectPr w:rsidR="0090440E" w:rsidRPr="00EC2EBB" w:rsidSect="0018581F">
          <w:headerReference w:type="default" r:id="rId25"/>
          <w:pgSz w:w="11905" w:h="16838"/>
          <w:pgMar w:top="680" w:right="851" w:bottom="1134" w:left="1418" w:header="0" w:footer="0" w:gutter="0"/>
          <w:cols w:space="720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90440E" w:rsidRPr="00394BC5" w:rsidTr="00623E48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 xml:space="preserve">Цена контракта </w:t>
            </w:r>
            <w:hyperlink w:anchor="P542" w:history="1">
              <w:r w:rsidRPr="00EC2EBB">
                <w:rPr>
                  <w:rFonts w:cs="Calibri"/>
                  <w:color w:val="0000FF"/>
                  <w:szCs w:val="20"/>
                </w:rPr>
                <w:t>&lt;***&gt;</w:t>
              </w:r>
            </w:hyperlink>
          </w:p>
        </w:tc>
      </w:tr>
      <w:tr w:rsidR="0090440E" w:rsidRPr="00394BC5" w:rsidTr="00623E48">
        <w:tc>
          <w:tcPr>
            <w:tcW w:w="2778" w:type="dxa"/>
            <w:vMerge/>
            <w:tcBorders>
              <w:left w:val="nil"/>
            </w:tcBorders>
          </w:tcPr>
          <w:p w:rsidR="0090440E" w:rsidRPr="00394BC5" w:rsidRDefault="0090440E" w:rsidP="00623E48"/>
        </w:tc>
        <w:tc>
          <w:tcPr>
            <w:tcW w:w="2665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90440E" w:rsidRPr="00394BC5" w:rsidRDefault="0090440E" w:rsidP="00623E48"/>
        </w:tc>
      </w:tr>
      <w:tr w:rsidR="0090440E" w:rsidRPr="00394BC5" w:rsidTr="00623E48">
        <w:tc>
          <w:tcPr>
            <w:tcW w:w="2778" w:type="dxa"/>
            <w:tcBorders>
              <w:left w:val="nil"/>
            </w:tcBorders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EC2EBB">
              <w:rPr>
                <w:rFonts w:cs="Calibri"/>
                <w:szCs w:val="20"/>
              </w:rPr>
              <w:t>5</w:t>
            </w:r>
          </w:p>
        </w:tc>
      </w:tr>
      <w:tr w:rsidR="0090440E" w:rsidRPr="00394BC5" w:rsidTr="00623E4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</w:tr>
      <w:tr w:rsidR="0090440E" w:rsidRPr="00394BC5" w:rsidTr="00623E4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90440E" w:rsidRPr="00394BC5" w:rsidRDefault="0090440E" w:rsidP="00623E48"/>
        </w:tc>
        <w:tc>
          <w:tcPr>
            <w:tcW w:w="2665" w:type="dxa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2322" w:type="dxa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3345" w:type="dxa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2438" w:type="dxa"/>
          </w:tcPr>
          <w:p w:rsidR="0090440E" w:rsidRPr="00EC2EBB" w:rsidRDefault="0090440E" w:rsidP="00623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</w:tr>
    </w:tbl>
    <w:p w:rsidR="0090440E" w:rsidRPr="00EC2EBB" w:rsidRDefault="0090440E" w:rsidP="0090440E">
      <w:pPr>
        <w:sectPr w:rsidR="0090440E" w:rsidRPr="00EC2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Увеличение  количества  поставляемого  товара  при заключении  контракта в   ┌────────────┐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соответствии  с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частью 18 статьи 34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Федерального закона от 5 апреля 2013 г.  │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N  44-ФЗ  "О  контрактной системе в сфере закупок товаров, робот, услуг для  │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обеспечения государственных и муниципальных нужд"                            └────────────┘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r w:rsidRPr="00EC2EBB">
        <w:rPr>
          <w:rFonts w:cs="Calibri"/>
          <w:szCs w:val="20"/>
        </w:rPr>
        <w:t>--------------------------------</w:t>
      </w:r>
    </w:p>
    <w:p w:rsidR="0090440E" w:rsidRPr="00EC2EBB" w:rsidRDefault="0090440E" w:rsidP="009044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cs="Calibri"/>
          <w:szCs w:val="20"/>
        </w:rPr>
      </w:pPr>
      <w:bookmarkStart w:id="11" w:name="P540"/>
      <w:bookmarkEnd w:id="11"/>
      <w:r w:rsidRPr="00EC2EBB">
        <w:rPr>
          <w:rFonts w:cs="Calibri"/>
          <w:szCs w:val="20"/>
        </w:rPr>
        <w:t>&lt;*&gt; Заполняется при наличии.</w:t>
      </w:r>
    </w:p>
    <w:p w:rsidR="0090440E" w:rsidRPr="00EC2EBB" w:rsidRDefault="0090440E" w:rsidP="009044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cs="Calibri"/>
          <w:szCs w:val="20"/>
        </w:rPr>
      </w:pPr>
      <w:bookmarkStart w:id="12" w:name="P541"/>
      <w:bookmarkEnd w:id="12"/>
      <w:r w:rsidRPr="00EC2EBB">
        <w:rPr>
          <w:rFonts w:cs="Calibri"/>
          <w:szCs w:val="20"/>
        </w:rPr>
        <w:t>&lt;**&gt; Указывается исходящий номер.</w:t>
      </w:r>
    </w:p>
    <w:p w:rsidR="0090440E" w:rsidRPr="00EC2EBB" w:rsidRDefault="0090440E" w:rsidP="009044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cs="Calibri"/>
          <w:szCs w:val="20"/>
        </w:rPr>
      </w:pPr>
      <w:bookmarkStart w:id="13" w:name="P542"/>
      <w:bookmarkEnd w:id="13"/>
      <w:r w:rsidRPr="00EC2EBB">
        <w:rPr>
          <w:rFonts w:cs="Calibri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90440E" w:rsidRDefault="0090440E" w:rsidP="0090440E">
      <w:pPr>
        <w:pStyle w:val="ConsPlusNormal"/>
        <w:jc w:val="center"/>
        <w:rPr>
          <w:rFonts w:cs="Times New Roman"/>
          <w:color w:val="000000"/>
          <w:szCs w:val="22"/>
        </w:rPr>
      </w:pPr>
      <w:r>
        <w:t xml:space="preserve">Отметка </w:t>
      </w: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 Янурусовский сельсовет</w:t>
      </w:r>
    </w:p>
    <w:p w:rsidR="0090440E" w:rsidRDefault="0090440E" w:rsidP="0090440E">
      <w:pPr>
        <w:pStyle w:val="ConsPlusNormal"/>
        <w:jc w:val="center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  <w:r>
        <w:rPr>
          <w:rFonts w:cs="Times New Roman"/>
          <w:color w:val="000000"/>
          <w:szCs w:val="22"/>
        </w:rPr>
        <w:t xml:space="preserve"> </w:t>
      </w:r>
      <w:r w:rsidRPr="00791383">
        <w:rPr>
          <w:rFonts w:cs="Times New Roman"/>
          <w:color w:val="000000"/>
          <w:szCs w:val="22"/>
        </w:rPr>
        <w:t>Ишимбайский район Республики Башкортостан</w:t>
      </w:r>
    </w:p>
    <w:p w:rsidR="0090440E" w:rsidRDefault="0090440E" w:rsidP="0090440E">
      <w:pPr>
        <w:widowControl w:val="0"/>
        <w:autoSpaceDE w:val="0"/>
        <w:autoSpaceDN w:val="0"/>
        <w:jc w:val="center"/>
        <w:rPr>
          <w:rFonts w:cs="Calibri"/>
          <w:szCs w:val="20"/>
        </w:rPr>
      </w:pPr>
      <w:r>
        <w:rPr>
          <w:rFonts w:cs="Calibri"/>
          <w:szCs w:val="20"/>
        </w:rPr>
        <w:t xml:space="preserve">о соответствии контролируемой информации требованиям, установленным </w:t>
      </w:r>
      <w:hyperlink r:id="rId27" w:history="1">
        <w:r>
          <w:rPr>
            <w:rStyle w:val="a3"/>
            <w:rFonts w:cs="Calibri"/>
            <w:szCs w:val="20"/>
          </w:rPr>
          <w:t>частью 5 статьи 99</w:t>
        </w:r>
      </w:hyperlink>
      <w:r>
        <w:rPr>
          <w:rFonts w:cs="Calibri"/>
          <w:szCs w:val="20"/>
        </w:rPr>
        <w:t xml:space="preserve">                                            Федерального закона от 5 апреля 2013 года N 44-ФЗ "О контрактной системе                                         в сфере закупок товаров, работ, услуг для обеспечения                                                          государственных и муниципальных нужд"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90440E" w:rsidRPr="00EC2EBB" w:rsidRDefault="0090440E" w:rsidP="0090440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440E" w:rsidRDefault="0090440E" w:rsidP="0090440E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 xml:space="preserve">Приложение N </w:t>
      </w:r>
      <w:r>
        <w:rPr>
          <w:rFonts w:ascii="Calibri" w:hAnsi="Calibri" w:cs="Calibri"/>
          <w:szCs w:val="20"/>
        </w:rPr>
        <w:t>5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взаимодействия при осуществлении контроля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                        Янурусовский сельсовет</w:t>
      </w: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Ишимбайский район Республики Башкортостан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с субъектами контроля, указанными в пункте 4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Правил осуществления контроля, предусмотренного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частью 5 статьи 99 Федерального закона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«О контрактной системе в сфере закупок товаров, работ,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услуг для обеспечения государственных и муниципальных нужд»,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утвержденных постановлением Правительства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Российской Федерации от 12 декабря 2015 года № 1367</w:t>
      </w:r>
    </w:p>
    <w:p w:rsidR="0090440E" w:rsidRPr="00853CDF" w:rsidRDefault="0090440E" w:rsidP="0090440E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bookmarkStart w:id="14" w:name="P593"/>
      <w:bookmarkEnd w:id="14"/>
      <w:r w:rsidRPr="00853CDF">
        <w:rPr>
          <w:rFonts w:ascii="Calibri" w:hAnsi="Calibri" w:cs="Calibri"/>
          <w:szCs w:val="20"/>
        </w:rPr>
        <w:t>Сведения об объемах средств, указанных в правовых актах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(проектах таких актов, размещенных в установленном порядке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в целях общественного обсуждения) Правительства Республики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Башкортостан и иных документах, установленных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Правительством Республики Башкортостан, предусматривающих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в соответствии с бюджетным законодательством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Российской Федерации возможность заключения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государственного контракта на срок, превышающий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срок действия доведенных лимитов бюджетных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обязательств на 20___ год и на плановый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период 20___ и 20___ годов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Наименование заказчика          _____________________________            КПП│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Default="0090440E" w:rsidP="0090440E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 w:type="page"/>
      </w:r>
    </w:p>
    <w:p w:rsidR="0090440E" w:rsidRPr="00853CDF" w:rsidRDefault="0090440E" w:rsidP="0090440E">
      <w:pPr>
        <w:rPr>
          <w:rFonts w:ascii="Calibri" w:hAnsi="Calibri"/>
          <w:lang w:eastAsia="en-US"/>
        </w:rPr>
        <w:sectPr w:rsidR="0090440E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4098"/>
        <w:gridCol w:w="1077"/>
        <w:gridCol w:w="7654"/>
      </w:tblGrid>
      <w:tr w:rsidR="0090440E" w:rsidRPr="00853CDF" w:rsidTr="00623E48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vMerge w:val="restart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</w:tbl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Default="0090440E">
      <w:pPr>
        <w:rPr>
          <w:rFonts w:ascii="Times New Roman" w:hAnsi="Times New Roman" w:cs="Times New Roman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lastRenderedPageBreak/>
        <w:t xml:space="preserve">Приложение N </w:t>
      </w:r>
      <w:r>
        <w:rPr>
          <w:rFonts w:ascii="Calibri" w:hAnsi="Calibri" w:cs="Calibri"/>
          <w:szCs w:val="20"/>
        </w:rPr>
        <w:t>6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взаимодействия при осуществлении контроля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>Администрации</w:t>
      </w:r>
      <w:r>
        <w:rPr>
          <w:rFonts w:cs="Times New Roman"/>
          <w:color w:val="000000"/>
          <w:szCs w:val="22"/>
        </w:rPr>
        <w:t xml:space="preserve"> сельского поселения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                        Янурусовский сельсовет</w:t>
      </w:r>
      <w:r w:rsidRPr="00791383">
        <w:rPr>
          <w:rFonts w:cs="Times New Roman"/>
          <w:color w:val="000000"/>
          <w:szCs w:val="22"/>
        </w:rPr>
        <w:t xml:space="preserve"> муниципального района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 w:rsidRPr="00791383">
        <w:rPr>
          <w:rFonts w:cs="Times New Roman"/>
          <w:color w:val="000000"/>
          <w:szCs w:val="22"/>
        </w:rPr>
        <w:t xml:space="preserve"> Ишимбайский район Республики Башкортостан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с субъектами контроля, указанными в пункте 4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Правил осуществления контроля, предусмотренного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частью 5 статьи 99 Федерального закона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 «О контрактной системе в сфере закупок товаров, работ,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услуг для обеспечения государственных и муниципальных нужд»,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утвержденных постановлением Правительства </w:t>
      </w:r>
    </w:p>
    <w:p w:rsidR="0090440E" w:rsidRDefault="0090440E" w:rsidP="0090440E">
      <w:pPr>
        <w:pStyle w:val="ConsPlusNormal"/>
        <w:jc w:val="righ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Российской Федерации от 12 декабря 2015 года № 1367</w:t>
      </w:r>
    </w:p>
    <w:p w:rsidR="0090440E" w:rsidRDefault="0090440E" w:rsidP="0090440E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bookmarkStart w:id="15" w:name="P733"/>
      <w:bookmarkEnd w:id="15"/>
      <w:r w:rsidRPr="00853CDF">
        <w:rPr>
          <w:rFonts w:ascii="Calibri" w:hAnsi="Calibri" w:cs="Calibri"/>
          <w:szCs w:val="20"/>
        </w:rPr>
        <w:t>Протокол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о несоответствии контролируемой информации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требованиям, установленным частью 5 статьи 99 Федерального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закона от 5 апреля 2013 года N 44-ФЗ "О контрактной системе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в сфере закупок товаров, работ, услуг для обеспечения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государственных и муниципальных нужд"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N __________________</w:t>
      </w:r>
    </w:p>
    <w:p w:rsidR="0090440E" w:rsidRPr="00853CDF" w:rsidRDefault="0090440E" w:rsidP="0090440E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органа контроля          Министерство финансов  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Республики Башкортостан  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3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3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3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Default="0090440E" w:rsidP="0090440E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 w:type="page"/>
      </w:r>
    </w:p>
    <w:p w:rsidR="0090440E" w:rsidRPr="00853CDF" w:rsidRDefault="0090440E" w:rsidP="0090440E">
      <w:pPr>
        <w:rPr>
          <w:rFonts w:ascii="Calibri" w:hAnsi="Calibri"/>
          <w:lang w:eastAsia="en-US"/>
        </w:rPr>
        <w:sectPr w:rsidR="0090440E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90440E" w:rsidRPr="00853CDF" w:rsidTr="00623E48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90440E" w:rsidRPr="00853CDF" w:rsidTr="00623E48">
        <w:tc>
          <w:tcPr>
            <w:tcW w:w="3364" w:type="dxa"/>
            <w:tcBorders>
              <w:lef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номер</w:t>
            </w:r>
          </w:p>
        </w:tc>
      </w:tr>
      <w:tr w:rsidR="0090440E" w:rsidRPr="00853CDF" w:rsidTr="00623E48">
        <w:tc>
          <w:tcPr>
            <w:tcW w:w="3364" w:type="dxa"/>
            <w:tcBorders>
              <w:lef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53CDF">
              <w:rPr>
                <w:rFonts w:ascii="Calibri" w:hAnsi="Calibri" w:cs="Calibri"/>
                <w:szCs w:val="20"/>
              </w:rPr>
              <w:t>6</w:t>
            </w:r>
          </w:p>
        </w:tc>
      </w:tr>
      <w:tr w:rsidR="0090440E" w:rsidRPr="00853CDF" w:rsidTr="00623E4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90440E" w:rsidRPr="00853CDF" w:rsidRDefault="0090440E" w:rsidP="00623E4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90440E" w:rsidRPr="00853CDF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  <w:r w:rsidRPr="00853CDF">
        <w:rPr>
          <w:rFonts w:ascii="Calibri" w:hAnsi="Calibri" w:cs="Calibri"/>
          <w:szCs w:val="20"/>
        </w:rPr>
        <w:t>--------------------------------</w:t>
      </w:r>
    </w:p>
    <w:p w:rsidR="0090440E" w:rsidRPr="00853CDF" w:rsidRDefault="0090440E" w:rsidP="0090440E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Cs w:val="20"/>
        </w:rPr>
      </w:pPr>
      <w:bookmarkStart w:id="16" w:name="P800"/>
      <w:bookmarkEnd w:id="16"/>
      <w:r w:rsidRPr="00853CDF">
        <w:rPr>
          <w:rFonts w:ascii="Calibri" w:hAnsi="Calibri" w:cs="Calibri"/>
          <w:szCs w:val="20"/>
        </w:rPr>
        <w:t>&lt;*&gt; Заполняется при наличии.</w:t>
      </w:r>
    </w:p>
    <w:p w:rsidR="0090440E" w:rsidRPr="00853CDF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90440E" w:rsidRPr="00853CDF" w:rsidRDefault="0090440E" w:rsidP="0090440E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rPr>
          <w:rFonts w:ascii="Calibri" w:hAnsi="Calibri" w:cs="Calibri"/>
          <w:sz w:val="2"/>
          <w:szCs w:val="2"/>
        </w:rPr>
      </w:pPr>
    </w:p>
    <w:p w:rsidR="0090440E" w:rsidRPr="00853CDF" w:rsidRDefault="0090440E" w:rsidP="0090440E">
      <w:pPr>
        <w:rPr>
          <w:rFonts w:ascii="Calibri" w:hAnsi="Calibri"/>
          <w:lang w:eastAsia="en-US"/>
        </w:rPr>
      </w:pPr>
    </w:p>
    <w:p w:rsidR="0090440E" w:rsidRPr="001F085C" w:rsidRDefault="0090440E" w:rsidP="0090440E">
      <w:pPr>
        <w:rPr>
          <w:color w:val="000000"/>
        </w:rPr>
      </w:pPr>
    </w:p>
    <w:p w:rsidR="0090440E" w:rsidRPr="005253FD" w:rsidRDefault="0090440E" w:rsidP="0090440E"/>
    <w:p w:rsidR="0090440E" w:rsidRPr="00B75A1B" w:rsidRDefault="0090440E">
      <w:pPr>
        <w:rPr>
          <w:rFonts w:ascii="Times New Roman" w:hAnsi="Times New Roman" w:cs="Times New Roman"/>
        </w:rPr>
      </w:pPr>
    </w:p>
    <w:sectPr w:rsidR="0090440E" w:rsidRPr="00B75A1B" w:rsidSect="00EE3D79">
      <w:pgSz w:w="11907" w:h="16840" w:code="9"/>
      <w:pgMar w:top="340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FB" w:rsidRDefault="00787DFB" w:rsidP="00D81221">
      <w:pPr>
        <w:spacing w:after="0" w:line="240" w:lineRule="auto"/>
      </w:pPr>
      <w:r>
        <w:separator/>
      </w:r>
    </w:p>
  </w:endnote>
  <w:endnote w:type="continuationSeparator" w:id="1">
    <w:p w:rsidR="00787DFB" w:rsidRDefault="00787DFB" w:rsidP="00D8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FB" w:rsidRDefault="00787DFB" w:rsidP="00D81221">
      <w:pPr>
        <w:spacing w:after="0" w:line="240" w:lineRule="auto"/>
      </w:pPr>
      <w:r>
        <w:separator/>
      </w:r>
    </w:p>
  </w:footnote>
  <w:footnote w:type="continuationSeparator" w:id="1">
    <w:p w:rsidR="00787DFB" w:rsidRDefault="00787DFB" w:rsidP="00D8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05" w:rsidRDefault="00D81221">
    <w:pPr>
      <w:pStyle w:val="a4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="0090440E"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18581F">
      <w:rPr>
        <w:rFonts w:ascii="Calibri" w:hAnsi="Calibri"/>
        <w:noProof/>
        <w:sz w:val="22"/>
        <w:szCs w:val="22"/>
      </w:rPr>
      <w:t>2</w:t>
    </w:r>
    <w:r w:rsidRPr="001550B6">
      <w:rPr>
        <w:rFonts w:ascii="Calibri" w:hAnsi="Calibri"/>
        <w:sz w:val="22"/>
        <w:szCs w:val="22"/>
      </w:rPr>
      <w:fldChar w:fldCharType="end"/>
    </w:r>
  </w:p>
  <w:p w:rsidR="008E7505" w:rsidRDefault="00787D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A1B"/>
    <w:rsid w:val="0018581F"/>
    <w:rsid w:val="00194CCE"/>
    <w:rsid w:val="00787DFB"/>
    <w:rsid w:val="007C5846"/>
    <w:rsid w:val="0090440E"/>
    <w:rsid w:val="00B75A1B"/>
    <w:rsid w:val="00BE25DE"/>
    <w:rsid w:val="00D81221"/>
    <w:rsid w:val="00E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A1B"/>
    <w:rPr>
      <w:color w:val="0000FF"/>
      <w:u w:val="single"/>
    </w:rPr>
  </w:style>
  <w:style w:type="paragraph" w:customStyle="1" w:styleId="ConsPlusNormal">
    <w:name w:val="ConsPlusNormal"/>
    <w:uiPriority w:val="99"/>
    <w:rsid w:val="0090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rsid w:val="0090440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0440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2A60D36D1635FC7322CEEB59A67250C68252996C9B1079C2E06CAw7KE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6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7" Type="http://schemas.openxmlformats.org/officeDocument/2006/relationships/hyperlink" Target="mailto:mail@yanurus.ru" TargetMode="External"/><Relationship Id="rId12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1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34ABCE763F6506F4FE6377B15300A53ADA04D2A60D36D1635FC7322CEEB59A67250C68252996C9B1079C2E06CAw7KE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0" Type="http://schemas.openxmlformats.org/officeDocument/2006/relationships/hyperlink" Target="consultantplus://offline/ref=34ABCE763F6506F4FE6377B15300A53ADA04D2A60D36D1635FC7322CEEB59A67250C68252996C9B1079C2E06CAw7KEG" TargetMode="External"/><Relationship Id="rId2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2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8" Type="http://schemas.openxmlformats.org/officeDocument/2006/relationships/hyperlink" Target="consultantplus://offline/ref=34ABCE763F6506F4FE6377B15300A53ADA04D2A60D36D1635FC7322CEEB59A67250C68252996C9B1079C2E06CAw7KE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4" Type="http://schemas.openxmlformats.org/officeDocument/2006/relationships/hyperlink" Target="consultantplus://offline/ref=34ABCE763F6506F4FE6377B15300A53ADA04D2A60D36D1635FC7322CEEB59A67250C68252996C9B1079C2E06CAw7KEG" TargetMode="External"/><Relationship Id="rId2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7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5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8541</Words>
  <Characters>48684</Characters>
  <Application>Microsoft Office Word</Application>
  <DocSecurity>0</DocSecurity>
  <Lines>405</Lines>
  <Paragraphs>114</Paragraphs>
  <ScaleCrop>false</ScaleCrop>
  <Company/>
  <LinksUpToDate>false</LinksUpToDate>
  <CharactersWithSpaces>57111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2019-12-26T10:52:00Z</cp:lastPrinted>
  <dcterms:created xsi:type="dcterms:W3CDTF">2019-12-24T09:34:00Z</dcterms:created>
  <dcterms:modified xsi:type="dcterms:W3CDTF">2020-05-21T07:40:00Z</dcterms:modified>
</cp:coreProperties>
</file>